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86"/>
        <w:gridCol w:w="7456"/>
        <w:gridCol w:w="312"/>
      </w:tblGrid>
      <w:tr w:rsidR="00790508" w:rsidRPr="00790508" w14:paraId="3D0AFD7F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114FBC2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Charakteristika predkladaného výstupu tvorivej činnosti / </w:t>
            </w: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br/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submitted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output</w:t>
            </w:r>
          </w:p>
        </w:tc>
      </w:tr>
      <w:tr w:rsidR="00790508" w:rsidRPr="00790508" w14:paraId="63DA5B7B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BB79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E2BFC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2C10B592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45E1E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B75F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9997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F01331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D6126A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263D4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48C81E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528DB35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3DDE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4EB0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0D5A810C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E69A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9017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B0AF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580E83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41CB55A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559C3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22174B8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8877960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48637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2CC6385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637D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878AB17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8485A7C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6AC42BA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6052AF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2865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955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7B9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75A15D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339D19A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4EB07C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D53B99" w14:textId="77777777" w:rsidR="00B13ACE" w:rsidRPr="00D03154" w:rsidRDefault="003B49FC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0A17C0"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TOMÁNEK</w:t>
            </w:r>
          </w:p>
        </w:tc>
        <w:tc>
          <w:tcPr>
            <w:tcW w:w="312" w:type="dxa"/>
            <w:vAlign w:val="center"/>
          </w:tcPr>
          <w:p w14:paraId="175C190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28333AA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2ADE89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A7DC3A" w14:textId="77777777" w:rsidR="00B13ACE" w:rsidRPr="00D03154" w:rsidRDefault="000A17C0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Pavol</w:t>
            </w:r>
          </w:p>
        </w:tc>
        <w:tc>
          <w:tcPr>
            <w:tcW w:w="312" w:type="dxa"/>
            <w:vAlign w:val="center"/>
          </w:tcPr>
          <w:p w14:paraId="49B8683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187ED0D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E61DC3F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B2E69" w14:textId="77777777" w:rsidR="00B13ACE" w:rsidRPr="00D03154" w:rsidRDefault="000A17C0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PaedDr</w:t>
            </w:r>
            <w:proofErr w:type="spellEnd"/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PhDr</w:t>
            </w:r>
            <w:proofErr w:type="spellEnd"/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ThDr</w:t>
            </w:r>
            <w:proofErr w:type="spellEnd"/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., PhD., MBA, MHA</w:t>
            </w:r>
          </w:p>
        </w:tc>
        <w:tc>
          <w:tcPr>
            <w:tcW w:w="312" w:type="dxa"/>
            <w:vAlign w:val="center"/>
          </w:tcPr>
          <w:p w14:paraId="1E403D9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B452F4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9DD6B9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437098" w14:textId="77777777" w:rsidR="00B13ACE" w:rsidRPr="00D03154" w:rsidRDefault="000A17C0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https://www.portalvs.sk/regzam/detail/5833</w:t>
            </w:r>
          </w:p>
        </w:tc>
        <w:tc>
          <w:tcPr>
            <w:tcW w:w="312" w:type="dxa"/>
            <w:vAlign w:val="center"/>
          </w:tcPr>
          <w:p w14:paraId="5643349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6E21D57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8331633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8F4150" w14:textId="77777777" w:rsidR="00170E41" w:rsidRDefault="00170E41" w:rsidP="00170E41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3AE77BEB" w14:textId="0DC973AE" w:rsidR="00B13ACE" w:rsidRPr="00D03154" w:rsidRDefault="00170E41" w:rsidP="00170E4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5D89B49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70FE8C1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8C3839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559D3A" w14:textId="77777777" w:rsidR="00B13ACE" w:rsidRPr="00D03154" w:rsidRDefault="003B49FC" w:rsidP="00D03154">
            <w:pPr>
              <w:spacing w:after="0" w:line="240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187D8E98" w14:textId="77777777" w:rsidR="00B13ACE" w:rsidRPr="00D03154" w:rsidRDefault="00B13ACE" w:rsidP="00D03154">
            <w:pPr>
              <w:pStyle w:val="Normln1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23D40C80" w14:textId="77777777" w:rsidR="00B13ACE" w:rsidRPr="00D03154" w:rsidRDefault="00D03154" w:rsidP="00D03154">
            <w:pPr>
              <w:pStyle w:val="Normln1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</w:rPr>
            </w:pPr>
            <w:proofErr w:type="spellStart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Tománek</w:t>
            </w:r>
            <w:proofErr w:type="spellEnd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, Pavol. 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2019. </w:t>
            </w:r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Fragmenty rodiny: manželstvo a rodina v</w:t>
            </w:r>
            <w:r w:rsidRPr="00D03154">
              <w:rPr>
                <w:rFonts w:asciiTheme="majorHAnsi" w:hAnsiTheme="majorHAnsi" w:cstheme="majorHAnsi"/>
                <w:i/>
                <w:caps/>
                <w:sz w:val="16"/>
                <w:szCs w:val="16"/>
              </w:rPr>
              <w:t> </w:t>
            </w:r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súdnej sieni.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Brno :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Tribun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, 2019. 366 s. ISBN 978-80-263-1451-6.</w:t>
            </w:r>
          </w:p>
        </w:tc>
        <w:tc>
          <w:tcPr>
            <w:tcW w:w="312" w:type="dxa"/>
            <w:vAlign w:val="center"/>
          </w:tcPr>
          <w:p w14:paraId="18F0559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10940FB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86113B9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3E715A" w14:textId="77777777" w:rsidR="00B13ACE" w:rsidRPr="00D03154" w:rsidRDefault="000A17C0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2019</w:t>
            </w:r>
          </w:p>
        </w:tc>
        <w:tc>
          <w:tcPr>
            <w:tcW w:w="312" w:type="dxa"/>
            <w:vAlign w:val="center"/>
          </w:tcPr>
          <w:p w14:paraId="798F7F0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743408C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0EA664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20F8F" w14:textId="77777777" w:rsidR="00D03154" w:rsidRPr="00D03154" w:rsidRDefault="00D03154" w:rsidP="00D03154">
            <w:pPr>
              <w:pStyle w:val="Nadpis3"/>
              <w:jc w:val="both"/>
              <w:rPr>
                <w:rFonts w:eastAsia="Times New Roman" w:cstheme="majorHAnsi"/>
                <w:color w:val="auto"/>
                <w:sz w:val="16"/>
                <w:szCs w:val="16"/>
                <w:lang w:val="cs-CZ" w:eastAsia="cs-CZ"/>
              </w:rPr>
            </w:pPr>
            <w:r w:rsidRPr="00D03154">
              <w:rPr>
                <w:rFonts w:cstheme="majorHAnsi"/>
                <w:color w:val="auto"/>
                <w:sz w:val="16"/>
                <w:szCs w:val="16"/>
              </w:rPr>
              <w:t>169978</w:t>
            </w:r>
          </w:p>
          <w:p w14:paraId="0BEBDADC" w14:textId="77777777" w:rsidR="00B13ACE" w:rsidRPr="00D03154" w:rsidRDefault="00B13ACE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237F1C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63E8B7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10325F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69357C" w14:textId="77777777" w:rsidR="00B13ACE" w:rsidRPr="00D03154" w:rsidRDefault="00D03154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https://app.crepc.sk/?fn=detailBiblioFormChildKC2UF&amp;sid=1D055279E2D1258CBA75420865&amp;seo=CREP%C4%8C-detail-kniha</w:t>
            </w:r>
          </w:p>
        </w:tc>
        <w:tc>
          <w:tcPr>
            <w:tcW w:w="312" w:type="dxa"/>
            <w:vAlign w:val="center"/>
          </w:tcPr>
          <w:p w14:paraId="3135C11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AF38BD9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8793FD4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E927B90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9B0B19" w14:textId="77777777" w:rsidR="00B13ACE" w:rsidRPr="00D03154" w:rsidRDefault="00D03154" w:rsidP="00D03154">
            <w:pPr>
              <w:spacing w:after="0" w:line="240" w:lineRule="auto"/>
              <w:ind w:left="160" w:hangingChars="100" w:hanging="16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https://www.knihovny.cz/Record/vkol.SVK01-001285504</w:t>
            </w:r>
          </w:p>
        </w:tc>
        <w:tc>
          <w:tcPr>
            <w:tcW w:w="312" w:type="dxa"/>
            <w:vAlign w:val="center"/>
          </w:tcPr>
          <w:p w14:paraId="1B057203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169B003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48C47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70C9B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9B99A8" w14:textId="77777777" w:rsidR="00B13ACE" w:rsidRPr="00D03154" w:rsidRDefault="00D03154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Tománek</w:t>
            </w:r>
            <w:proofErr w:type="spellEnd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, Pavol. 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2019. </w:t>
            </w:r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Fragmenty rodiny: manželstvo a rodina v</w:t>
            </w:r>
            <w:r w:rsidRPr="00D03154">
              <w:rPr>
                <w:rFonts w:asciiTheme="majorHAnsi" w:hAnsiTheme="majorHAnsi" w:cstheme="majorHAnsi"/>
                <w:i/>
                <w:caps/>
                <w:sz w:val="16"/>
                <w:szCs w:val="16"/>
              </w:rPr>
              <w:t> </w:t>
            </w:r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súdnej sieni.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Brno :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Tribun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, 2019. 366 s. ISBN 978-80-263-1451-6.</w:t>
            </w:r>
          </w:p>
        </w:tc>
        <w:tc>
          <w:tcPr>
            <w:tcW w:w="312" w:type="dxa"/>
            <w:vAlign w:val="center"/>
          </w:tcPr>
          <w:p w14:paraId="1162ABE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ABB555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2169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788A58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6051B8" w14:textId="77777777" w:rsidR="00B13ACE" w:rsidRPr="00D03154" w:rsidRDefault="000A17C0" w:rsidP="00D03154">
            <w:pPr>
              <w:pStyle w:val="Textpoznmkypodiarou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Monografia</w:t>
            </w:r>
            <w:r w:rsidR="003B49FC"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Monography</w:t>
            </w:r>
            <w:proofErr w:type="spellEnd"/>
          </w:p>
          <w:p w14:paraId="762BF46E" w14:textId="77777777" w:rsidR="00B13ACE" w:rsidRPr="00D03154" w:rsidRDefault="00B13ACE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F4D121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7787237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4EC4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A93030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AA9DD1" w14:textId="77777777" w:rsidR="00B13ACE" w:rsidRPr="00D03154" w:rsidRDefault="00B13ACE" w:rsidP="00D0315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548D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A3F04DF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2897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2059C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20B59C" w14:textId="77777777" w:rsidR="00B13ACE" w:rsidRPr="00D03154" w:rsidRDefault="003B49FC" w:rsidP="00D03154">
            <w:pPr>
              <w:pStyle w:val="PredformtovanHTML"/>
              <w:shd w:val="clear" w:color="auto" w:fill="F8F9FA"/>
              <w:spacing w:line="360" w:lineRule="atLeast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 </w:t>
            </w:r>
            <w:r w:rsidR="00B30EC9"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Tománek</w:t>
            </w:r>
            <w:proofErr w:type="gramEnd"/>
            <w:r w:rsidR="00B30EC9"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r w:rsidR="00D03154"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100</w:t>
            </w:r>
            <w:r w:rsidRPr="00D03154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% / </w:t>
            </w:r>
            <w:r w:rsidRPr="00D03154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D03154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B30EC9" w:rsidRPr="00D03154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Tománek</w:t>
            </w:r>
            <w:proofErr w:type="spellEnd"/>
            <w:r w:rsidR="00B30EC9" w:rsidRPr="00D03154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D03154" w:rsidRPr="00D03154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100</w:t>
            </w:r>
            <w:r w:rsidRPr="00D03154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51E3C962" w14:textId="77777777" w:rsidR="00B13ACE" w:rsidRPr="00D03154" w:rsidRDefault="00B13ACE" w:rsidP="00D03154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AB198C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416A6CD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AE58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D3387DD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F008BF" w14:textId="77777777" w:rsidR="00B13ACE" w:rsidRPr="00D03154" w:rsidRDefault="003B49FC" w:rsidP="00C920AF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Podiel autora je v spracovaní : </w:t>
            </w:r>
            <w:r w:rsidR="00B30EC9" w:rsidRPr="00D03154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terminologické vymedzenie </w:t>
            </w:r>
            <w:r w:rsid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rodiny, manželstva, nových podôb a modelov rodiny, rozvod rodiny, sociálno-patologické javy v rodine a manželstve. /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share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processing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terminological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definition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family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marriage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new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forms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models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family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family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divorce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socio-pathological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phenomena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family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marriage</w:t>
            </w:r>
            <w:proofErr w:type="spellEnd"/>
            <w:r w:rsidR="00C920AF" w:rsidRPr="00C920AF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3F8C4A9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08761B3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409CA6E" w14:textId="77777777" w:rsidR="00B13ACE" w:rsidRPr="00790508" w:rsidRDefault="003D5AE7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7D480" w14:textId="77777777" w:rsidR="00B13ACE" w:rsidRPr="00D03154" w:rsidRDefault="00D03154" w:rsidP="00D03154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sz w:val="16"/>
                <w:szCs w:val="16"/>
                <w:lang w:val="en-US" w:eastAsia="sk-SK"/>
              </w:rPr>
            </w:pPr>
            <w:r w:rsidRPr="00D03154">
              <w:rPr>
                <w:rFonts w:asciiTheme="majorHAnsi" w:hAnsiTheme="majorHAnsi" w:cstheme="majorHAnsi"/>
                <w:sz w:val="16"/>
                <w:szCs w:val="16"/>
                <w:lang w:val="en-US" w:eastAsia="en-GB" w:bidi="he-IL"/>
              </w:rPr>
              <w:t>The monograph presents a thematic comprehensive work, a subject dealing with the issue of family and marriage in their basic constitutive starting position. The author manages a wide range of knowledge, reflection, "empowerment" of the real reality of the family and its related topics and elaborates them into several thematic parts in a taxonomic position. The complexity of their "vision", identification and proper functional understood contexts in the creation of the whole integrative projection of family and marriage.</w:t>
            </w:r>
          </w:p>
        </w:tc>
        <w:tc>
          <w:tcPr>
            <w:tcW w:w="312" w:type="dxa"/>
            <w:vAlign w:val="center"/>
          </w:tcPr>
          <w:p w14:paraId="5F8FF3C3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3003A82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4BBCC0B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AECB" w14:textId="77777777" w:rsidR="00D03154" w:rsidRPr="00D03154" w:rsidRDefault="00D03154" w:rsidP="00D03154">
            <w:pPr>
              <w:numPr>
                <w:ilvl w:val="0"/>
                <w:numId w:val="3"/>
              </w:numPr>
              <w:tabs>
                <w:tab w:val="left" w:pos="200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Theme="majorHAnsi" w:eastAsia="TimesNewRomanPSMT" w:hAnsiTheme="majorHAnsi" w:cstheme="majorHAnsi"/>
                <w:sz w:val="16"/>
                <w:szCs w:val="16"/>
              </w:rPr>
            </w:pPr>
            <w:proofErr w:type="spellStart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Bundzelová</w:t>
            </w:r>
            <w:proofErr w:type="spellEnd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, Katarína et al.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: Dobrovoľníctvo a jeho význam pri práci so seniormi. In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Disputationes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Scientificae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č. 4, roč. 19, 2019, s. 67. ISSN </w:t>
            </w:r>
            <w:r w:rsidRPr="00D03154">
              <w:rPr>
                <w:rFonts w:asciiTheme="majorHAnsi" w:eastAsia="TimesNewRomanPSMT" w:hAnsiTheme="majorHAnsi" w:cstheme="majorHAnsi"/>
                <w:sz w:val="16"/>
                <w:szCs w:val="16"/>
              </w:rPr>
              <w:t>1335-9185.</w:t>
            </w:r>
          </w:p>
          <w:p w14:paraId="7A3171B1" w14:textId="77777777" w:rsidR="00D03154" w:rsidRPr="00D03154" w:rsidRDefault="00D03154" w:rsidP="00D03154">
            <w:pPr>
              <w:numPr>
                <w:ilvl w:val="0"/>
                <w:numId w:val="3"/>
              </w:numPr>
              <w:tabs>
                <w:tab w:val="left" w:pos="200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Theme="majorHAnsi" w:eastAsia="TimesNewRomanPSMT" w:hAnsiTheme="majorHAnsi" w:cstheme="majorHAnsi"/>
                <w:sz w:val="16"/>
                <w:szCs w:val="16"/>
              </w:rPr>
            </w:pPr>
            <w:proofErr w:type="spellStart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Cintulová</w:t>
            </w:r>
            <w:proofErr w:type="spellEnd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, L. – </w:t>
            </w:r>
            <w:proofErr w:type="spellStart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Radková</w:t>
            </w:r>
            <w:proofErr w:type="spellEnd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, L.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Personality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competences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teacher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–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research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study. In </w:t>
            </w:r>
            <w:proofErr w:type="spellStart"/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Humanities</w:t>
            </w:r>
            <w:proofErr w:type="spellEnd"/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Cultural</w:t>
            </w:r>
            <w:proofErr w:type="spellEnd"/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i/>
                <w:sz w:val="16"/>
                <w:szCs w:val="16"/>
              </w:rPr>
              <w:t>Studies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2020. ISSN: 2657-8972 [online]. Dostupné na: </w:t>
            </w:r>
            <w:hyperlink r:id="rId21" w:history="1">
              <w:r w:rsidRPr="00D03154">
                <w:rPr>
                  <w:rStyle w:val="Hypertextovprepojenie"/>
                  <w:rFonts w:asciiTheme="majorHAnsi" w:hAnsiTheme="majorHAnsi" w:cstheme="majorHAnsi"/>
                  <w:color w:val="auto"/>
                  <w:sz w:val="16"/>
                  <w:szCs w:val="16"/>
                </w:rPr>
                <w:t>https://hcsjournal.pl/resources/html/article/details?id=203834&amp;preview=true</w:t>
              </w:r>
            </w:hyperlink>
          </w:p>
          <w:p w14:paraId="55E38C3C" w14:textId="77777777" w:rsidR="00B13ACE" w:rsidRPr="00D03154" w:rsidRDefault="00D03154" w:rsidP="00D03154">
            <w:pPr>
              <w:numPr>
                <w:ilvl w:val="0"/>
                <w:numId w:val="3"/>
              </w:numPr>
              <w:tabs>
                <w:tab w:val="left" w:pos="200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Theme="majorHAnsi" w:eastAsia="SimSun" w:hAnsiTheme="majorHAnsi" w:cstheme="majorHAnsi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Cintulová</w:t>
            </w:r>
            <w:proofErr w:type="spellEnd"/>
            <w:r w:rsidRPr="00D03154">
              <w:rPr>
                <w:rFonts w:asciiTheme="majorHAnsi" w:hAnsiTheme="majorHAnsi" w:cstheme="majorHAnsi"/>
                <w:bCs/>
                <w:sz w:val="16"/>
                <w:szCs w:val="16"/>
              </w:rPr>
              <w:t>, L. – Rác, R.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Learning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teaching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process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Children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socially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excluded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communities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. In </w:t>
            </w:r>
            <w:proofErr w:type="spellStart"/>
            <w:r w:rsidRPr="00D03154">
              <w:rPr>
                <w:rFonts w:asciiTheme="majorHAnsi" w:eastAsia="Calibri" w:hAnsiTheme="majorHAnsi" w:cstheme="majorHAnsi"/>
                <w:i/>
                <w:iCs/>
                <w:sz w:val="16"/>
                <w:szCs w:val="16"/>
                <w:lang w:val="cs-CZ" w:eastAsia="cs-CZ"/>
              </w:rPr>
              <w:t>The</w:t>
            </w:r>
            <w:proofErr w:type="spellEnd"/>
            <w:r w:rsidRPr="00D03154">
              <w:rPr>
                <w:rFonts w:asciiTheme="majorHAnsi" w:eastAsia="Calibri" w:hAnsiTheme="majorHAnsi" w:cstheme="majorHAnsi"/>
                <w:i/>
                <w:iCs/>
                <w:sz w:val="16"/>
                <w:szCs w:val="16"/>
                <w:lang w:val="cs-CZ" w:eastAsia="cs-CZ"/>
              </w:rPr>
              <w:t xml:space="preserve"> Person and </w:t>
            </w:r>
            <w:proofErr w:type="spellStart"/>
            <w:r w:rsidRPr="00D03154">
              <w:rPr>
                <w:rFonts w:asciiTheme="majorHAnsi" w:eastAsia="Calibri" w:hAnsiTheme="majorHAnsi" w:cstheme="majorHAnsi"/>
                <w:i/>
                <w:iCs/>
                <w:sz w:val="16"/>
                <w:szCs w:val="16"/>
                <w:lang w:val="cs-CZ" w:eastAsia="cs-CZ"/>
              </w:rPr>
              <w:t>the</w:t>
            </w:r>
            <w:proofErr w:type="spellEnd"/>
            <w:r w:rsidRPr="00D03154">
              <w:rPr>
                <w:rFonts w:asciiTheme="majorHAnsi" w:eastAsia="Calibri" w:hAnsiTheme="majorHAnsi" w:cstheme="majorHAnsi"/>
                <w:i/>
                <w:iCs/>
                <w:sz w:val="16"/>
                <w:szCs w:val="16"/>
                <w:lang w:val="cs-CZ" w:eastAsia="cs-CZ"/>
              </w:rPr>
              <w:t xml:space="preserve"> </w:t>
            </w:r>
            <w:proofErr w:type="spellStart"/>
            <w:r w:rsidRPr="00D03154">
              <w:rPr>
                <w:rFonts w:asciiTheme="majorHAnsi" w:eastAsia="Calibri" w:hAnsiTheme="majorHAnsi" w:cstheme="majorHAnsi"/>
                <w:i/>
                <w:iCs/>
                <w:sz w:val="16"/>
                <w:szCs w:val="16"/>
                <w:lang w:val="cs-CZ" w:eastAsia="cs-CZ"/>
              </w:rPr>
              <w:t>Challenges</w:t>
            </w:r>
            <w:proofErr w:type="spellEnd"/>
            <w:r w:rsidRPr="00D03154">
              <w:rPr>
                <w:rFonts w:asciiTheme="majorHAnsi" w:eastAsia="Calibri" w:hAnsiTheme="majorHAnsi" w:cstheme="majorHAnsi"/>
                <w:i/>
                <w:iCs/>
                <w:sz w:val="16"/>
                <w:szCs w:val="16"/>
                <w:lang w:val="cs-CZ" w:eastAsia="cs-CZ"/>
              </w:rPr>
              <w:t xml:space="preserve">, </w:t>
            </w:r>
            <w:r w:rsidRPr="00D03154">
              <w:rPr>
                <w:rFonts w:asciiTheme="majorHAnsi" w:eastAsia="Calibri" w:hAnsiTheme="majorHAnsi" w:cstheme="majorHAnsi"/>
                <w:iCs/>
                <w:sz w:val="16"/>
                <w:szCs w:val="16"/>
                <w:lang w:val="cs-CZ" w:eastAsia="cs-CZ"/>
              </w:rPr>
              <w:t xml:space="preserve">Vol. 11, 2021, </w:t>
            </w:r>
            <w:proofErr w:type="spellStart"/>
            <w:r w:rsidRPr="00D03154">
              <w:rPr>
                <w:rFonts w:asciiTheme="majorHAnsi" w:eastAsia="Calibri" w:hAnsiTheme="majorHAnsi" w:cstheme="majorHAnsi"/>
                <w:iCs/>
                <w:sz w:val="16"/>
                <w:szCs w:val="16"/>
                <w:lang w:val="cs-CZ" w:eastAsia="cs-CZ"/>
              </w:rPr>
              <w:t>Number</w:t>
            </w:r>
            <w:proofErr w:type="spellEnd"/>
            <w:r w:rsidRPr="00D03154">
              <w:rPr>
                <w:rFonts w:asciiTheme="majorHAnsi" w:eastAsia="Calibri" w:hAnsiTheme="majorHAnsi" w:cstheme="majorHAnsi"/>
                <w:iCs/>
                <w:sz w:val="16"/>
                <w:szCs w:val="16"/>
                <w:lang w:val="cs-CZ" w:eastAsia="cs-CZ"/>
              </w:rPr>
              <w:t xml:space="preserve"> 1, p. 233–247</w:t>
            </w:r>
            <w:r w:rsidRPr="00D03154">
              <w:rPr>
                <w:rFonts w:asciiTheme="majorHAnsi" w:eastAsia="TimesNewRomanPSMT" w:hAnsiTheme="majorHAnsi" w:cstheme="majorHAnsi"/>
                <w:sz w:val="16"/>
                <w:szCs w:val="16"/>
              </w:rPr>
              <w:t xml:space="preserve">. </w:t>
            </w: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ISSN 1335-9185.</w:t>
            </w:r>
          </w:p>
        </w:tc>
        <w:tc>
          <w:tcPr>
            <w:tcW w:w="312" w:type="dxa"/>
            <w:vAlign w:val="center"/>
          </w:tcPr>
          <w:p w14:paraId="1587BA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2D9F6AC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AD1553C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AB5959" w14:textId="77777777" w:rsidR="00B13ACE" w:rsidRDefault="00D03154" w:rsidP="00C920AF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Medzi hlavný znak postmoderny patrí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fragmentarizácia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ľudského bytia, ktorá sa prejavuje v nedôvere k ľuďom, potláčaním tradičnej mravnosti (etiky) a jej nahrádzaním právnymi predpismi a normami (vrátane napr. tzv. etických kódexov či štandardov); ďalej dvojtvárnosťou, kde na jednej strane síce postmoderna napr. ponúka právo na názor, slobodu prejavu a „bojuje“ proti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labelingu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no na druhej strane sama iné ako mainstreamové názory v podstate neprijíma a ich nositeľov nálepkuje či pranieruje (od starých štruktúr, cez nacionalistov a fašistov až po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homofóbov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či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xenofóbov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); a v neposlednom rade posunom vnímania „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normality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“.  /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main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feature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postmodernism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fragmentation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human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existence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which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manifests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itself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distrust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people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suppression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traditional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morality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ethics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)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its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replacement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by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legislation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standards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including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example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so-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called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codes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ethics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or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standards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);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further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two-facedness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where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one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hand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postmodern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e.g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offers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right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opinion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freedom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expression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"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fights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"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against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labeling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other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hand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does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essentially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accept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-mainstream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views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labels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or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denounces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bearers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old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structures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through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nationalists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fascists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homophobes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or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xenophobes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); and,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last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but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least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by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shifting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perception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"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normality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".  </w:t>
            </w:r>
          </w:p>
          <w:p w14:paraId="06FE33D2" w14:textId="77777777" w:rsidR="003D5AE7" w:rsidRDefault="003D5AE7" w:rsidP="00C920AF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116C4BF" w14:textId="77777777" w:rsidR="003D5AE7" w:rsidRDefault="003D5AE7" w:rsidP="003D5AE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Významným dopadom výstupu je zvýšenie odbornosti a praktického výkonu sociálnej práce, z administratívneho byrokratického rámca k intenzívnej a efektívnej práci s klientom pri rešpektovaní základných východísk a postulátov v danej oblasti skúmania sociálnej práce s prepojením na pozitívny hospodársky a sociálny dopad sociálnej práce si rozvoji ľudského kapitálu, sociálneho kapitálu.  Výstup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prispieva k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zvýš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eniu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informovanosti nielen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vedeckej obce, ale aj laickej i odbornej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komunity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študentov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ej problematike, trendoch alebo nových poznatkoch v oblasti spoločenskej alebo hospodárskej praxe.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expertise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performance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administrative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bureaucratic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intensive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while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respecting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basic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principles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connection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contributes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awareness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new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4186BBD6" w14:textId="77777777" w:rsidR="003D5AE7" w:rsidRDefault="003D5AE7" w:rsidP="003D5AE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8E0E285" w14:textId="77777777" w:rsidR="003D5AE7" w:rsidRDefault="003D5AE7" w:rsidP="003D5AE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podnecuje viaceré objekty vedeckej, odbornej i laickej verejnosti a študentov smerom k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diskusie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 cieľom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hlbšiemu porozumeniu problému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hľadaniu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možný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riešen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í. 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ôže ovplyvniť názory a postoje ľudí k určitým spoločenským alebo hospodárskym otázkam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podnietiť zmenu postoja 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vedeckej, odbornej i laickej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politikov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 aj študentov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voči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skúmanej problematike. Výstup 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456BCA"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objects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possible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solutions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people's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opinions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certain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politicians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investigated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relations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between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global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achievement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2030 Agenda.</w:t>
            </w:r>
          </w:p>
          <w:p w14:paraId="165F0A18" w14:textId="77777777" w:rsidR="003D5AE7" w:rsidRDefault="003D5AE7" w:rsidP="003D5AE7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BBFA7A1" w14:textId="70857F51" w:rsidR="003D5AE7" w:rsidRPr="003D5AE7" w:rsidRDefault="003D5AE7" w:rsidP="00C920AF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Závery bádania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 vo vedeckej  monograf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ii/zborníku/príspevku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tendenciách, turbulenciách spoločenského života, ako aj výzvach postmodernej doby v rôznych oblastiach spoločenského života. /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conclusions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tendencies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turbulences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challenges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postmodern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era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228E943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4D91D1A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ED910C2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1C1299" w14:textId="77777777" w:rsidR="00B13ACE" w:rsidRDefault="00D03154" w:rsidP="00C920AF">
            <w:pPr>
              <w:spacing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Monografia podáva široký záber informácií a prezentuje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temotvornú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pozíciu rodinnej výchovy. Monografia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komparujeme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aj slovenské a európske tendencie a perspektívy a pod., čím chce čitateľovi pripraviť kvalitnú pôdu pre pochopenie rodiny a rodinnej výchovy v súčasných podmienkach nielen na Slovensku. /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monograph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provides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wide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range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information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presents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tempting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position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family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education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We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also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compare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monographs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of Slovak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European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tendencies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perspectives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, etc.,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which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aims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prepare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reader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quality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ground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understanding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family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family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upbringing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conditions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>only</w:t>
            </w:r>
            <w:proofErr w:type="spellEnd"/>
            <w:r w:rsidRPr="00D03154">
              <w:rPr>
                <w:rFonts w:asciiTheme="majorHAnsi" w:hAnsiTheme="majorHAnsi" w:cstheme="majorHAnsi"/>
                <w:sz w:val="16"/>
                <w:szCs w:val="16"/>
              </w:rPr>
              <w:t xml:space="preserve"> in Slovakia. </w:t>
            </w:r>
          </w:p>
          <w:p w14:paraId="53E5D78F" w14:textId="77777777" w:rsidR="003D5AE7" w:rsidRPr="00456BCA" w:rsidRDefault="003D5AE7" w:rsidP="003D5AE7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Vo vzdelávacom procese táto  štúdia koreluje s  viacerými predmetmi, ako je teória sociálnej práce, základy sociálnej práce, metódy sociálnej práce,  komunitná sociálna práce, sociálna práca v zdravotníctve,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či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sociálna politika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correlates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policy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77D54F41" w14:textId="338B663C" w:rsidR="003D5AE7" w:rsidRDefault="003D5AE7" w:rsidP="003D5AE7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639EC7B5" w14:textId="77777777" w:rsidR="003D5AE7" w:rsidRPr="00456BCA" w:rsidRDefault="003D5AE7" w:rsidP="003D5AE7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je určená pre vedeckú, ale i odbornú verejnosť, ktorá sa danou problematikou zaoberá. 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poskytuje relevantné informácie, ktoré pojednávajú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 demografických zmenách a trendoch, ktoré prináša spoločný európsky priestor.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intended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deals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relevant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discusses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demographic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changes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brought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space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0F725BD7" w14:textId="77777777" w:rsidR="003D5AE7" w:rsidRDefault="003D5AE7" w:rsidP="003D5AE7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29992BAC" w14:textId="0AC25D13" w:rsidR="003D5AE7" w:rsidRDefault="003D5AE7" w:rsidP="003D5AE7">
            <w:pPr>
              <w:pStyle w:val="PredformtovanHTML"/>
              <w:shd w:val="clear" w:color="auto" w:fill="F8F9FA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Výstup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slúž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ako vzdelávac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í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zdroj pre verejnosť,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vedeckých pracovníkov,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odborníkov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laickú komunitu,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 aj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študentov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 skvalitňovaní študijného programu a je priamo prepojený na predmet sociálne služby, teória a metódy sociálnej práce a iné voliteľné predmety pre prípravu budúcich sociálnych pracovníkov, je cenným zdrojom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program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directly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connected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future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valuable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.</w:t>
            </w:r>
          </w:p>
          <w:p w14:paraId="3864A803" w14:textId="77777777" w:rsidR="003D5AE7" w:rsidRPr="00D03154" w:rsidRDefault="003D5AE7" w:rsidP="00C920AF">
            <w:pPr>
              <w:spacing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88E442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283E4A3C" w14:textId="77777777" w:rsidR="00B13ACE" w:rsidRPr="00790508" w:rsidRDefault="00B13ACE">
      <w:pPr>
        <w:rPr>
          <w:rFonts w:asciiTheme="majorHAnsi" w:hAnsiTheme="majorHAnsi" w:cstheme="majorHAnsi"/>
        </w:rPr>
      </w:pPr>
    </w:p>
    <w:sectPr w:rsidR="00B13ACE" w:rsidRPr="007905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EA57B" w14:textId="77777777" w:rsidR="00C37C8A" w:rsidRDefault="00C37C8A">
      <w:pPr>
        <w:spacing w:line="240" w:lineRule="auto"/>
      </w:pPr>
      <w:r>
        <w:separator/>
      </w:r>
    </w:p>
  </w:endnote>
  <w:endnote w:type="continuationSeparator" w:id="0">
    <w:p w14:paraId="0B0B435B" w14:textId="77777777" w:rsidR="00C37C8A" w:rsidRDefault="00C37C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F458" w14:textId="77777777" w:rsidR="00C37C8A" w:rsidRDefault="00C37C8A">
      <w:pPr>
        <w:spacing w:after="0"/>
      </w:pPr>
      <w:r>
        <w:separator/>
      </w:r>
    </w:p>
  </w:footnote>
  <w:footnote w:type="continuationSeparator" w:id="0">
    <w:p w14:paraId="3C3B70D6" w14:textId="77777777" w:rsidR="00C37C8A" w:rsidRDefault="00C37C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CCC729E"/>
    <w:multiLevelType w:val="hybridMultilevel"/>
    <w:tmpl w:val="8AAA0C10"/>
    <w:lvl w:ilvl="0" w:tplc="68F6160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152179">
    <w:abstractNumId w:val="0"/>
  </w:num>
  <w:num w:numId="2" w16cid:durableId="2139494571">
    <w:abstractNumId w:val="2"/>
  </w:num>
  <w:num w:numId="3" w16cid:durableId="1706634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A17C0"/>
    <w:rsid w:val="00170E41"/>
    <w:rsid w:val="00190A9C"/>
    <w:rsid w:val="00211BB7"/>
    <w:rsid w:val="003B49FC"/>
    <w:rsid w:val="003D5AE7"/>
    <w:rsid w:val="004C0ADE"/>
    <w:rsid w:val="0073261A"/>
    <w:rsid w:val="0075266F"/>
    <w:rsid w:val="00790508"/>
    <w:rsid w:val="00AE2ECB"/>
    <w:rsid w:val="00B13ACE"/>
    <w:rsid w:val="00B30EC9"/>
    <w:rsid w:val="00C37C8A"/>
    <w:rsid w:val="00C920AF"/>
    <w:rsid w:val="00D0315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C88C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3D5AE7"/>
    <w:rPr>
      <w:rFonts w:ascii="Courier New" w:eastAsia="Times New Roman" w:hAnsi="Courier New" w:cs="Courier New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hcsjournal.pl/resources/html/article/details?id=203834&amp;preview=true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2206</Words>
  <Characters>12576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Pavol Tomanek</cp:lastModifiedBy>
  <cp:revision>7</cp:revision>
  <dcterms:created xsi:type="dcterms:W3CDTF">2022-05-22T13:03:00Z</dcterms:created>
  <dcterms:modified xsi:type="dcterms:W3CDTF">2024-02-05T17:14:00Z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